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B0E2527"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224801">
        <w:rPr>
          <w:sz w:val="20"/>
          <w:szCs w:val="20"/>
        </w:rPr>
        <w:t>6</w:t>
      </w:r>
      <w:r w:rsidR="00C07CDB" w:rsidRPr="00CA18BE">
        <w:rPr>
          <w:sz w:val="20"/>
          <w:szCs w:val="20"/>
        </w:rPr>
        <w:t>-</w:t>
      </w:r>
      <w:r w:rsidR="0060400D">
        <w:rPr>
          <w:sz w:val="20"/>
          <w:szCs w:val="20"/>
        </w:rPr>
        <w:t>089</w:t>
      </w:r>
    </w:p>
    <w:p w14:paraId="4E087FF9" w14:textId="052CE6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487101">
        <w:rPr>
          <w:sz w:val="20"/>
          <w:szCs w:val="20"/>
        </w:rPr>
        <w:t>46 A</w:t>
      </w:r>
      <w:r w:rsidR="00DD4598" w:rsidRPr="00CA18BE">
        <w:rPr>
          <w:sz w:val="20"/>
          <w:szCs w:val="20"/>
        </w:rPr>
        <w:t>W</w:t>
      </w:r>
      <w:r w:rsidR="00C07CDB" w:rsidRPr="00CA18BE">
        <w:rPr>
          <w:sz w:val="20"/>
          <w:szCs w:val="20"/>
        </w:rPr>
        <w:t>/</w:t>
      </w:r>
      <w:r w:rsidR="00487101">
        <w:rPr>
          <w:sz w:val="20"/>
          <w:szCs w:val="20"/>
        </w:rPr>
        <w:t>Channel Islands CA</w:t>
      </w:r>
    </w:p>
    <w:p w14:paraId="629B0D76" w14:textId="2B4C63D7"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25281B">
        <w:rPr>
          <w:sz w:val="20"/>
          <w:szCs w:val="20"/>
        </w:rPr>
        <w:t>2-Jan-202</w:t>
      </w:r>
      <w:r w:rsidR="00E610C3">
        <w:rPr>
          <w:sz w:val="20"/>
          <w:szCs w:val="20"/>
        </w:rPr>
        <w:t>6</w:t>
      </w:r>
    </w:p>
    <w:p w14:paraId="16DB180E" w14:textId="17FD3F73"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610C3">
        <w:rPr>
          <w:sz w:val="20"/>
          <w:szCs w:val="20"/>
        </w:rPr>
        <w:t>23-Jan-2026</w:t>
      </w:r>
    </w:p>
    <w:p w14:paraId="40B4F29D" w14:textId="57CA23B8"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E610C3">
        <w:rPr>
          <w:rFonts w:asciiTheme="minorHAnsi" w:hAnsiTheme="minorHAnsi" w:cstheme="minorHAnsi"/>
          <w:sz w:val="20"/>
          <w:szCs w:val="20"/>
        </w:rPr>
        <w:t>Airl</w:t>
      </w:r>
      <w:r w:rsidR="000364BD">
        <w:rPr>
          <w:rFonts w:asciiTheme="minorHAnsi" w:hAnsiTheme="minorHAnsi" w:cstheme="minorHAnsi"/>
          <w:sz w:val="20"/>
          <w:szCs w:val="20"/>
        </w:rPr>
        <w:t>ift/Special Mission Air</w:t>
      </w:r>
      <w:r w:rsidR="00370271">
        <w:rPr>
          <w:rFonts w:asciiTheme="minorHAnsi" w:hAnsiTheme="minorHAnsi" w:cstheme="minorHAnsi"/>
          <w:sz w:val="20"/>
          <w:szCs w:val="20"/>
        </w:rPr>
        <w:t>craft Maintenance</w:t>
      </w:r>
    </w:p>
    <w:p w14:paraId="5C12D351" w14:textId="383AE7D4"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B53C20">
        <w:rPr>
          <w:sz w:val="20"/>
          <w:szCs w:val="20"/>
        </w:rPr>
        <w:t>2A551</w:t>
      </w:r>
      <w:r w:rsidR="00370271">
        <w:rPr>
          <w:sz w:val="20"/>
          <w:szCs w:val="20"/>
        </w:rPr>
        <w:t>/</w:t>
      </w:r>
      <w:r w:rsidR="00B53C20">
        <w:rPr>
          <w:sz w:val="20"/>
          <w:szCs w:val="20"/>
        </w:rPr>
        <w:t>2A571</w:t>
      </w:r>
      <w:r w:rsidR="00FB2E7F" w:rsidRPr="00CA18BE">
        <w:rPr>
          <w:sz w:val="20"/>
          <w:szCs w:val="20"/>
        </w:rPr>
        <w:tab/>
      </w:r>
    </w:p>
    <w:p w14:paraId="5CA369A4" w14:textId="72820C9B"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70271">
        <w:rPr>
          <w:sz w:val="20"/>
          <w:szCs w:val="20"/>
        </w:rPr>
        <w:t>E5-E6</w:t>
      </w:r>
    </w:p>
    <w:p w14:paraId="52CBA977" w14:textId="77777777" w:rsidR="00B53C20"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B53C20">
        <w:rPr>
          <w:sz w:val="20"/>
          <w:szCs w:val="20"/>
        </w:rPr>
        <w:t>109993134</w:t>
      </w:r>
    </w:p>
    <w:p w14:paraId="7935198E" w14:textId="21C9CB98" w:rsidR="000A6594" w:rsidRPr="00B53C20" w:rsidRDefault="00B53C20" w:rsidP="006622EE">
      <w:pPr>
        <w:tabs>
          <w:tab w:val="left" w:pos="3719"/>
        </w:tabs>
        <w:rPr>
          <w:b/>
          <w:bCs/>
          <w:sz w:val="20"/>
          <w:szCs w:val="20"/>
        </w:rPr>
      </w:pPr>
      <w:r w:rsidRPr="00B53C20">
        <w:rPr>
          <w:b/>
          <w:bCs/>
          <w:sz w:val="20"/>
          <w:szCs w:val="20"/>
          <w:u w:val="single"/>
        </w:rPr>
        <w:t>ASVAB:</w:t>
      </w:r>
      <w:r w:rsidRPr="00B53C20">
        <w:rPr>
          <w:b/>
          <w:bCs/>
          <w:sz w:val="20"/>
          <w:szCs w:val="20"/>
        </w:rPr>
        <w:t xml:space="preserve"> </w:t>
      </w:r>
      <w:r w:rsidRPr="00B53C20">
        <w:rPr>
          <w:sz w:val="20"/>
          <w:szCs w:val="20"/>
        </w:rPr>
        <w:t>M47</w:t>
      </w:r>
      <w:r w:rsidR="00FB2E7F" w:rsidRPr="00B53C20">
        <w:rPr>
          <w:b/>
          <w:bCs/>
          <w:sz w:val="20"/>
          <w:szCs w:val="20"/>
        </w:rPr>
        <w:tab/>
      </w:r>
      <w:r w:rsidR="2637DA32" w:rsidRPr="00B53C20">
        <w:rPr>
          <w:b/>
          <w:bCs/>
          <w:sz w:val="20"/>
          <w:szCs w:val="20"/>
        </w:rPr>
        <w:t xml:space="preserve"> </w:t>
      </w:r>
    </w:p>
    <w:p w14:paraId="346A2EF0" w14:textId="7C1299C4" w:rsidR="00523612" w:rsidRPr="00B53C20"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CA18BE">
        <w:rPr>
          <w:sz w:val="20"/>
          <w:szCs w:val="20"/>
        </w:rPr>
        <w:t>Wing Only</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2D8115D"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w:t>
      </w:r>
      <w:r w:rsidR="00487101">
        <w:rPr>
          <w:rFonts w:asciiTheme="minorHAnsi" w:hAnsiTheme="minorHAnsi" w:cstheme="minorHAnsi"/>
          <w:sz w:val="20"/>
          <w:szCs w:val="20"/>
        </w:rPr>
        <w:t>46</w:t>
      </w:r>
      <w:r w:rsidR="00625AA7" w:rsidRPr="00CA18BE">
        <w:rPr>
          <w:rFonts w:asciiTheme="minorHAnsi" w:hAnsiTheme="minorHAnsi" w:cstheme="minorHAnsi"/>
          <w:sz w:val="20"/>
          <w:szCs w:val="20"/>
        </w:rPr>
        <w:t xml:space="preserve"> </w:t>
      </w:r>
      <w:r w:rsidR="00487101">
        <w:rPr>
          <w:rFonts w:asciiTheme="minorHAnsi" w:hAnsiTheme="minorHAnsi" w:cstheme="minorHAnsi"/>
          <w:sz w:val="20"/>
          <w:szCs w:val="20"/>
        </w:rPr>
        <w:t>Airlift</w:t>
      </w:r>
      <w:r w:rsidR="00625AA7" w:rsidRPr="00CA18BE">
        <w:rPr>
          <w:rFonts w:asciiTheme="minorHAnsi" w:hAnsiTheme="minorHAnsi" w:cstheme="minorHAnsi"/>
          <w:sz w:val="20"/>
          <w:szCs w:val="20"/>
        </w:rPr>
        <w:t xml:space="preserve"> Wing (</w:t>
      </w:r>
      <w:r w:rsidR="00487101">
        <w:rPr>
          <w:rFonts w:asciiTheme="minorHAnsi" w:hAnsiTheme="minorHAnsi" w:cstheme="minorHAnsi"/>
          <w:sz w:val="20"/>
          <w:szCs w:val="20"/>
        </w:rPr>
        <w:t>A</w:t>
      </w:r>
      <w:r w:rsidR="00625AA7" w:rsidRPr="00CA18BE">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7120D604" w14:textId="2D1DDF3B" w:rsidR="00B53C20" w:rsidRPr="00852250" w:rsidRDefault="00523612" w:rsidP="00852250">
      <w:pPr>
        <w:pStyle w:val="ListParagraph"/>
        <w:numPr>
          <w:ilvl w:val="0"/>
          <w:numId w:val="6"/>
        </w:numPr>
        <w:spacing w:before="0" w:line="259" w:lineRule="auto"/>
        <w:rPr>
          <w:rFonts w:asciiTheme="minorHAnsi" w:hAnsiTheme="minorHAnsi" w:cstheme="minorHAnsi"/>
          <w:sz w:val="20"/>
          <w:szCs w:val="20"/>
        </w:rPr>
      </w:pPr>
      <w:r w:rsidRPr="00852250">
        <w:rPr>
          <w:rFonts w:asciiTheme="minorHAnsi" w:hAnsiTheme="minorHAnsi" w:cstheme="minorHAnsi"/>
          <w:sz w:val="20"/>
          <w:szCs w:val="20"/>
        </w:rPr>
        <w:t xml:space="preserve">Knowledge is mandatory of: </w:t>
      </w:r>
      <w:r w:rsidR="00B53C20" w:rsidRPr="00852250">
        <w:rPr>
          <w:rFonts w:asciiTheme="minorHAnsi" w:hAnsiTheme="minorHAnsi" w:cstheme="minorHAnsi"/>
          <w:sz w:val="20"/>
          <w:szCs w:val="20"/>
        </w:rPr>
        <w:t>principles applying to aircraft systems; flight theory; hydraulic principles; electrical theory; principles, concepts, and application of maintenance directives and data reporting; using technical data; Air Force supply and deficiency reporting procedures; and proper handling, use, and disposal of hazardous waste and materials.</w:t>
      </w:r>
    </w:p>
    <w:p w14:paraId="0319ACD7" w14:textId="77777777" w:rsidR="00B53C20" w:rsidRPr="00852250" w:rsidRDefault="00B53C20" w:rsidP="00852250">
      <w:pPr>
        <w:spacing w:line="259" w:lineRule="auto"/>
        <w:rPr>
          <w:rFonts w:asciiTheme="minorHAnsi" w:hAnsiTheme="minorHAnsi" w:cstheme="minorHAns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852250">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852250">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852250">
        <w:rPr>
          <w:rFonts w:asciiTheme="minorHAnsi" w:hAnsiTheme="minorHAnsi" w:cstheme="minorHAnsi"/>
          <w:sz w:val="20"/>
          <w:szCs w:val="20"/>
        </w:rPr>
        <w:t xml:space="preserve">Computer Security. </w:t>
      </w:r>
    </w:p>
    <w:p w14:paraId="22EB98E1" w14:textId="73B9E844" w:rsidR="00B575A9" w:rsidRPr="00852250" w:rsidRDefault="00523612" w:rsidP="00852250">
      <w:pPr>
        <w:pStyle w:val="ListParagraph"/>
        <w:numPr>
          <w:ilvl w:val="0"/>
          <w:numId w:val="6"/>
        </w:numPr>
        <w:spacing w:before="0" w:line="259" w:lineRule="auto"/>
        <w:rPr>
          <w:rFonts w:asciiTheme="minorHAnsi" w:hAnsiTheme="minorHAnsi" w:cstheme="minorHAnsi"/>
          <w:sz w:val="20"/>
          <w:szCs w:val="20"/>
        </w:rPr>
      </w:pPr>
      <w:r w:rsidRPr="00852250">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17552738" w:rsidR="00FE04E9" w:rsidRPr="00852250" w:rsidRDefault="0071616A" w:rsidP="00852250">
      <w:pPr>
        <w:rPr>
          <w:rFonts w:asciiTheme="minorHAnsi" w:hAnsiTheme="minorHAnsi" w:cstheme="minorHAnsi"/>
          <w:b/>
          <w:sz w:val="20"/>
          <w:szCs w:val="20"/>
        </w:rPr>
      </w:pPr>
      <w:r w:rsidRPr="00CA18BE">
        <w:rPr>
          <w:rFonts w:asciiTheme="minorHAnsi" w:hAnsiTheme="minorHAnsi" w:cstheme="minorHAnsi"/>
          <w:b/>
          <w:sz w:val="20"/>
          <w:szCs w:val="20"/>
        </w:rPr>
        <w:br w:type="page"/>
      </w:r>
    </w:p>
    <w:p w14:paraId="5AA45272" w14:textId="49657635" w:rsidR="00852250" w:rsidRDefault="00EE20C3" w:rsidP="006E5FB6">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101B82FF" w14:textId="77777777" w:rsidR="00852250" w:rsidRPr="00CA18BE" w:rsidRDefault="00852250"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7D60C3E5" w14:textId="77777777" w:rsidR="00852250" w:rsidRPr="00CA18BE" w:rsidRDefault="00852250"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1D652BC8" w14:textId="5F2499DC" w:rsidR="4E677FC5" w:rsidRPr="00852250" w:rsidRDefault="4E677FC5" w:rsidP="00852250">
      <w:pPr>
        <w:rPr>
          <w:rFonts w:asciiTheme="minorHAnsi" w:hAnsiTheme="minorHAnsi" w:cstheme="minorBidi"/>
          <w:b/>
          <w:bCs/>
          <w:sz w:val="20"/>
          <w:szCs w:val="20"/>
        </w:rPr>
      </w:pPr>
    </w:p>
    <w:p w14:paraId="19263F4D" w14:textId="77777777" w:rsidR="006E5FB6" w:rsidRDefault="006E5FB6" w:rsidP="006622EE">
      <w:pPr>
        <w:tabs>
          <w:tab w:val="left" w:pos="839"/>
          <w:tab w:val="left" w:pos="840"/>
        </w:tabs>
        <w:spacing w:line="256" w:lineRule="auto"/>
        <w:jc w:val="center"/>
        <w:rPr>
          <w:rFonts w:asciiTheme="minorHAnsi" w:hAnsiTheme="minorHAnsi" w:cstheme="minorHAnsi"/>
          <w:b/>
          <w:sz w:val="20"/>
          <w:szCs w:val="20"/>
          <w:u w:val="single"/>
        </w:rPr>
      </w:pPr>
    </w:p>
    <w:p w14:paraId="0C93BA47" w14:textId="54749FE0"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0BC2" w14:textId="77777777" w:rsidR="00C64359" w:rsidRDefault="00C64359">
      <w:r>
        <w:separator/>
      </w:r>
    </w:p>
  </w:endnote>
  <w:endnote w:type="continuationSeparator" w:id="0">
    <w:p w14:paraId="1ECBEF93" w14:textId="77777777" w:rsidR="00C64359" w:rsidRDefault="00C6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5BC1" w14:textId="77777777" w:rsidR="00C64359" w:rsidRDefault="00C64359">
      <w:r>
        <w:separator/>
      </w:r>
    </w:p>
  </w:footnote>
  <w:footnote w:type="continuationSeparator" w:id="0">
    <w:p w14:paraId="50024E93" w14:textId="77777777" w:rsidR="00C64359" w:rsidRDefault="00C6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64BD"/>
    <w:rsid w:val="00037ABC"/>
    <w:rsid w:val="00047932"/>
    <w:rsid w:val="00070ABD"/>
    <w:rsid w:val="00075E0F"/>
    <w:rsid w:val="00091A27"/>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D752E"/>
    <w:rsid w:val="001F13FC"/>
    <w:rsid w:val="0020450A"/>
    <w:rsid w:val="00213A18"/>
    <w:rsid w:val="00224801"/>
    <w:rsid w:val="00236514"/>
    <w:rsid w:val="00236DF0"/>
    <w:rsid w:val="0025281B"/>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271"/>
    <w:rsid w:val="0037036E"/>
    <w:rsid w:val="00384D59"/>
    <w:rsid w:val="003B50B3"/>
    <w:rsid w:val="003C7C4A"/>
    <w:rsid w:val="003D321B"/>
    <w:rsid w:val="003D5C7D"/>
    <w:rsid w:val="003F66DE"/>
    <w:rsid w:val="00410450"/>
    <w:rsid w:val="00416E9E"/>
    <w:rsid w:val="004321FB"/>
    <w:rsid w:val="00445301"/>
    <w:rsid w:val="0045405E"/>
    <w:rsid w:val="00473754"/>
    <w:rsid w:val="00484FC9"/>
    <w:rsid w:val="00487101"/>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0400D"/>
    <w:rsid w:val="0062560B"/>
    <w:rsid w:val="00625AA7"/>
    <w:rsid w:val="00632928"/>
    <w:rsid w:val="006335AF"/>
    <w:rsid w:val="006358F6"/>
    <w:rsid w:val="0065098D"/>
    <w:rsid w:val="0065348B"/>
    <w:rsid w:val="00656BC5"/>
    <w:rsid w:val="006622EE"/>
    <w:rsid w:val="006664CB"/>
    <w:rsid w:val="006B1461"/>
    <w:rsid w:val="006B1B67"/>
    <w:rsid w:val="006C6C99"/>
    <w:rsid w:val="006D658F"/>
    <w:rsid w:val="006E5FB6"/>
    <w:rsid w:val="006E765D"/>
    <w:rsid w:val="006F1C9A"/>
    <w:rsid w:val="006F6115"/>
    <w:rsid w:val="0071616A"/>
    <w:rsid w:val="00744455"/>
    <w:rsid w:val="0075166C"/>
    <w:rsid w:val="007527D5"/>
    <w:rsid w:val="00770CB1"/>
    <w:rsid w:val="00780944"/>
    <w:rsid w:val="007832C1"/>
    <w:rsid w:val="00785837"/>
    <w:rsid w:val="00787BDD"/>
    <w:rsid w:val="0079706B"/>
    <w:rsid w:val="007A16FE"/>
    <w:rsid w:val="007E1D0C"/>
    <w:rsid w:val="0080235A"/>
    <w:rsid w:val="00824BB6"/>
    <w:rsid w:val="008271CF"/>
    <w:rsid w:val="00831D3D"/>
    <w:rsid w:val="00835B07"/>
    <w:rsid w:val="00843CC4"/>
    <w:rsid w:val="00852250"/>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75C66"/>
    <w:rsid w:val="00A81C16"/>
    <w:rsid w:val="00A94D30"/>
    <w:rsid w:val="00AA1D51"/>
    <w:rsid w:val="00AD2167"/>
    <w:rsid w:val="00AE2B42"/>
    <w:rsid w:val="00AE6FF8"/>
    <w:rsid w:val="00B0437E"/>
    <w:rsid w:val="00B04E23"/>
    <w:rsid w:val="00B1583F"/>
    <w:rsid w:val="00B2756A"/>
    <w:rsid w:val="00B277B9"/>
    <w:rsid w:val="00B304F3"/>
    <w:rsid w:val="00B3423E"/>
    <w:rsid w:val="00B53C20"/>
    <w:rsid w:val="00B575A9"/>
    <w:rsid w:val="00B60003"/>
    <w:rsid w:val="00B74107"/>
    <w:rsid w:val="00B75C28"/>
    <w:rsid w:val="00B77905"/>
    <w:rsid w:val="00B86287"/>
    <w:rsid w:val="00BA446D"/>
    <w:rsid w:val="00BA6FEB"/>
    <w:rsid w:val="00BC449C"/>
    <w:rsid w:val="00BD3F1F"/>
    <w:rsid w:val="00BD586B"/>
    <w:rsid w:val="00BE6C54"/>
    <w:rsid w:val="00BE788E"/>
    <w:rsid w:val="00BF1544"/>
    <w:rsid w:val="00BF7CC9"/>
    <w:rsid w:val="00C07CDB"/>
    <w:rsid w:val="00C2531B"/>
    <w:rsid w:val="00C270C6"/>
    <w:rsid w:val="00C35835"/>
    <w:rsid w:val="00C409C5"/>
    <w:rsid w:val="00C460B1"/>
    <w:rsid w:val="00C619A5"/>
    <w:rsid w:val="00C64359"/>
    <w:rsid w:val="00C7589F"/>
    <w:rsid w:val="00C85034"/>
    <w:rsid w:val="00CA18BE"/>
    <w:rsid w:val="00CA3F7E"/>
    <w:rsid w:val="00CC0A2F"/>
    <w:rsid w:val="00D01557"/>
    <w:rsid w:val="00D016F9"/>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D6A26"/>
    <w:rsid w:val="00DE07FA"/>
    <w:rsid w:val="00DE5750"/>
    <w:rsid w:val="00DF48B2"/>
    <w:rsid w:val="00E00F4F"/>
    <w:rsid w:val="00E04837"/>
    <w:rsid w:val="00E14722"/>
    <w:rsid w:val="00E1794F"/>
    <w:rsid w:val="00E213AE"/>
    <w:rsid w:val="00E22BE1"/>
    <w:rsid w:val="00E249FE"/>
    <w:rsid w:val="00E35EBD"/>
    <w:rsid w:val="00E36365"/>
    <w:rsid w:val="00E36921"/>
    <w:rsid w:val="00E41B1E"/>
    <w:rsid w:val="00E5171C"/>
    <w:rsid w:val="00E610C3"/>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11F3"/>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49ce21073907c9e667afd938f5dba1e5">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a0a7b2a500e54b3d19201320c0e92ec0"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customXml/itemProps3.xml><?xml version="1.0" encoding="utf-8"?>
<ds:datastoreItem xmlns:ds="http://schemas.openxmlformats.org/officeDocument/2006/customXml" ds:itemID="{26F90B0F-E38D-4715-BED8-5DA5EDFD0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1138</Words>
  <Characters>6494</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3</cp:revision>
  <dcterms:created xsi:type="dcterms:W3CDTF">2026-01-02T18:16:00Z</dcterms:created>
  <dcterms:modified xsi:type="dcterms:W3CDTF">2026-01-02T19:04:00Z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