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2A313CDF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Maintenance Squadron</w:t>
      </w:r>
      <w:r w:rsidRPr="00F67EAC">
        <w:rPr>
          <w:rFonts w:asciiTheme="minorHAnsi" w:hAnsiTheme="minorHAnsi" w:cstheme="minorHAnsi"/>
          <w:bCs/>
        </w:rPr>
        <w:br/>
      </w:r>
      <w:r w:rsidR="00EB5B48">
        <w:rPr>
          <w:rFonts w:asciiTheme="minorHAnsi" w:hAnsiTheme="minorHAnsi" w:cstheme="minorHAnsi"/>
          <w:bCs/>
          <w:sz w:val="28"/>
          <w:szCs w:val="28"/>
        </w:rPr>
        <w:t>Aircr</w:t>
      </w:r>
      <w:r w:rsidR="004C2A3F">
        <w:rPr>
          <w:rFonts w:asciiTheme="minorHAnsi" w:hAnsiTheme="minorHAnsi" w:cstheme="minorHAnsi"/>
          <w:bCs/>
          <w:sz w:val="28"/>
          <w:szCs w:val="28"/>
        </w:rPr>
        <w:t>aft</w:t>
      </w:r>
      <w:r w:rsidR="00EB5B4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51930">
        <w:rPr>
          <w:rFonts w:asciiTheme="minorHAnsi" w:hAnsiTheme="minorHAnsi" w:cstheme="minorHAnsi"/>
          <w:bCs/>
          <w:sz w:val="28"/>
          <w:szCs w:val="28"/>
        </w:rPr>
        <w:t>Fuel</w:t>
      </w:r>
      <w:r w:rsidR="00EB5B48">
        <w:rPr>
          <w:rFonts w:asciiTheme="minorHAnsi" w:hAnsiTheme="minorHAnsi" w:cstheme="minorHAnsi"/>
          <w:bCs/>
          <w:sz w:val="28"/>
          <w:szCs w:val="28"/>
        </w:rPr>
        <w:t xml:space="preserve"> Systems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17429CB8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F51930">
              <w:rPr>
                <w:rFonts w:cstheme="minorHAnsi"/>
              </w:rPr>
              <w:t>1</w:t>
            </w:r>
            <w:r w:rsidR="00687864">
              <w:rPr>
                <w:rFonts w:cstheme="minorHAnsi"/>
              </w:rPr>
              <w:t>2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4AEF9EEC" w:rsidR="005D2137" w:rsidRPr="00F67EAC" w:rsidRDefault="00687864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77960C7A" w:rsidR="005D2137" w:rsidRPr="00F67EAC" w:rsidRDefault="00971DB1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>Until 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0613CDFE" w:rsidR="005D2137" w:rsidRPr="00F67EAC" w:rsidRDefault="00AF627A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Aircr</w:t>
            </w:r>
            <w:r w:rsidR="004C2A3F">
              <w:rPr>
                <w:rFonts w:cstheme="minorHAnsi"/>
              </w:rPr>
              <w:t>aft</w:t>
            </w:r>
            <w:r>
              <w:rPr>
                <w:rFonts w:cstheme="minorHAnsi"/>
              </w:rPr>
              <w:t xml:space="preserve"> </w:t>
            </w:r>
            <w:r w:rsidR="00971DB1">
              <w:rPr>
                <w:rFonts w:cstheme="minorHAnsi"/>
              </w:rPr>
              <w:t>Fuel</w:t>
            </w:r>
            <w:r>
              <w:rPr>
                <w:rFonts w:cstheme="minorHAnsi"/>
              </w:rPr>
              <w:t xml:space="preserve"> Systems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4C8C4155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7E9C">
              <w:rPr>
                <w:rFonts w:cstheme="minorHAnsi"/>
              </w:rPr>
              <w:t>A</w:t>
            </w:r>
            <w:r w:rsidR="00AF627A">
              <w:rPr>
                <w:rFonts w:cstheme="minorHAnsi"/>
              </w:rPr>
              <w:t>6X</w:t>
            </w:r>
            <w:r w:rsidR="00971DB1">
              <w:rPr>
                <w:rFonts w:cstheme="minorHAnsi"/>
              </w:rPr>
              <w:t>4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5311E55D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E-1/E-6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7270C9BE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971DB1">
        <w:rPr>
          <w:rFonts w:cstheme="minorHAnsi"/>
        </w:rPr>
        <w:t>47</w:t>
      </w:r>
      <w:r>
        <w:rPr>
          <w:rFonts w:cstheme="minorHAnsi"/>
        </w:rPr>
        <w:t xml:space="preserve"> Mechanical</w:t>
      </w:r>
    </w:p>
    <w:p w14:paraId="219A3170" w14:textId="37A7A1E4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33313</w:t>
      </w:r>
      <w:r w:rsidR="00971DB1">
        <w:rPr>
          <w:rFonts w:cstheme="minorHAnsi"/>
        </w:rPr>
        <w:t>2</w:t>
      </w:r>
    </w:p>
    <w:p w14:paraId="6EDE529D" w14:textId="05427D5B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971DB1">
        <w:rPr>
          <w:rFonts w:cstheme="minorHAnsi"/>
        </w:rPr>
        <w:t>J</w:t>
      </w:r>
    </w:p>
    <w:p w14:paraId="762C57BF" w14:textId="5CCA22C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non-U.S citizens</w:t>
      </w:r>
    </w:p>
    <w:p w14:paraId="4954AA88" w14:textId="447734B1" w:rsidR="001D2180" w:rsidRPr="00F67EAC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Normal color vision as defined in AFI48-123</w:t>
      </w:r>
    </w:p>
    <w:p w14:paraId="04414E5B" w14:textId="0FD834B2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</w:t>
      </w:r>
      <w:r w:rsidR="00971DB1">
        <w:rPr>
          <w:rFonts w:cstheme="minorHAnsi"/>
        </w:rPr>
        <w:t>is</w:t>
      </w:r>
      <w:r w:rsidRPr="004F0DE0">
        <w:rPr>
          <w:rFonts w:cstheme="minorHAnsi"/>
        </w:rPr>
        <w:t xml:space="preserve"> AFSC, </w:t>
      </w:r>
      <w:r w:rsidR="00971DB1">
        <w:rPr>
          <w:rFonts w:cstheme="minorHAnsi"/>
        </w:rPr>
        <w:t xml:space="preserve">members </w:t>
      </w:r>
      <w:r w:rsidRPr="004F0DE0">
        <w:rPr>
          <w:rFonts w:cstheme="minorHAnsi"/>
        </w:rPr>
        <w:t>must maintain local network access IAW AFI 17-130,</w:t>
      </w:r>
    </w:p>
    <w:p w14:paraId="69687051" w14:textId="44E0E6CE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072D6B4D" w14:textId="77777777" w:rsidR="00971DB1" w:rsidRPr="00971DB1" w:rsidRDefault="00971DB1" w:rsidP="00971DB1">
      <w:pPr>
        <w:spacing w:after="0"/>
      </w:pPr>
      <w:r w:rsidRPr="00971DB1">
        <w:t xml:space="preserve">Removes, repairs, inspects, installs, and modifies aircraft fuel systems including integral fuel tanks, </w:t>
      </w:r>
    </w:p>
    <w:p w14:paraId="4CF1BC60" w14:textId="747A0FDC" w:rsidR="00F67EAC" w:rsidRPr="00AF627A" w:rsidRDefault="00971DB1" w:rsidP="00971DB1">
      <w:pPr>
        <w:spacing w:after="0"/>
      </w:pPr>
      <w:r w:rsidRPr="00971DB1">
        <w:t>bladder cells, and external tanks. Maintains associated hardware and equipment.</w:t>
      </w:r>
    </w:p>
    <w:p w14:paraId="7593DF36" w14:textId="77777777" w:rsidR="00AF627A" w:rsidRPr="004775E3" w:rsidRDefault="00AF627A" w:rsidP="00F67EAC">
      <w:pPr>
        <w:spacing w:after="0"/>
        <w:rPr>
          <w:sz w:val="24"/>
          <w:szCs w:val="24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vMPF  Records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lastRenderedPageBreak/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39FA"/>
    <w:rsid w:val="00344B80"/>
    <w:rsid w:val="003A51A0"/>
    <w:rsid w:val="003C124C"/>
    <w:rsid w:val="0040743F"/>
    <w:rsid w:val="00413C77"/>
    <w:rsid w:val="00443327"/>
    <w:rsid w:val="004512B1"/>
    <w:rsid w:val="004606DB"/>
    <w:rsid w:val="004775E3"/>
    <w:rsid w:val="004B1556"/>
    <w:rsid w:val="004C2A3F"/>
    <w:rsid w:val="004F0DE0"/>
    <w:rsid w:val="00581690"/>
    <w:rsid w:val="00582D53"/>
    <w:rsid w:val="005D2137"/>
    <w:rsid w:val="0062334B"/>
    <w:rsid w:val="00660750"/>
    <w:rsid w:val="00687864"/>
    <w:rsid w:val="00694D5A"/>
    <w:rsid w:val="00697E5B"/>
    <w:rsid w:val="006D3DBF"/>
    <w:rsid w:val="00721D1E"/>
    <w:rsid w:val="00727E9C"/>
    <w:rsid w:val="007457FE"/>
    <w:rsid w:val="007670AA"/>
    <w:rsid w:val="00787765"/>
    <w:rsid w:val="00812492"/>
    <w:rsid w:val="0088358C"/>
    <w:rsid w:val="008D411C"/>
    <w:rsid w:val="0096107C"/>
    <w:rsid w:val="00971DB1"/>
    <w:rsid w:val="00A534F8"/>
    <w:rsid w:val="00A7162E"/>
    <w:rsid w:val="00AD579C"/>
    <w:rsid w:val="00AF627A"/>
    <w:rsid w:val="00AF729B"/>
    <w:rsid w:val="00B13150"/>
    <w:rsid w:val="00B14265"/>
    <w:rsid w:val="00B15267"/>
    <w:rsid w:val="00B91498"/>
    <w:rsid w:val="00BD21D1"/>
    <w:rsid w:val="00C14C5E"/>
    <w:rsid w:val="00C47664"/>
    <w:rsid w:val="00C92A6F"/>
    <w:rsid w:val="00CB07BD"/>
    <w:rsid w:val="00CD675F"/>
    <w:rsid w:val="00CE6EFB"/>
    <w:rsid w:val="00D4485F"/>
    <w:rsid w:val="00DA5618"/>
    <w:rsid w:val="00DF46B7"/>
    <w:rsid w:val="00E324D8"/>
    <w:rsid w:val="00EB5B48"/>
    <w:rsid w:val="00EC496C"/>
    <w:rsid w:val="00EE2FB2"/>
    <w:rsid w:val="00EE439C"/>
    <w:rsid w:val="00F51930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17595D"/>
    <w:rsid w:val="002B5868"/>
    <w:rsid w:val="002C6EAB"/>
    <w:rsid w:val="003D5173"/>
    <w:rsid w:val="00581CD5"/>
    <w:rsid w:val="009A4478"/>
    <w:rsid w:val="009A793A"/>
    <w:rsid w:val="009D4457"/>
    <w:rsid w:val="00A8620A"/>
    <w:rsid w:val="00B37BC0"/>
    <w:rsid w:val="00B657F6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2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2023-01-24T20:41:00Z</dcterms:created>
  <dcterms:modified xsi:type="dcterms:W3CDTF">2023-02-13T22:41:00Z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